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B20EFF">
        <w:rPr>
          <w:sz w:val="28"/>
        </w:rPr>
        <w:t xml:space="preserve">3 квартал 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B20EFF">
        <w:rPr>
          <w:sz w:val="28"/>
        </w:rPr>
        <w:t xml:space="preserve">3 квартале 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BC21F0">
        <w:rPr>
          <w:sz w:val="28"/>
        </w:rPr>
        <w:t>1</w:t>
      </w:r>
      <w:r w:rsidR="00B20EFF">
        <w:rPr>
          <w:sz w:val="28"/>
        </w:rPr>
        <w:t>4</w:t>
      </w:r>
      <w:r>
        <w:rPr>
          <w:sz w:val="28"/>
        </w:rPr>
        <w:t xml:space="preserve"> обращени</w:t>
      </w:r>
      <w:r w:rsidR="00B20EFF">
        <w:rPr>
          <w:sz w:val="28"/>
        </w:rPr>
        <w:t>й граждан, в том числе интернет обращений - 7(что составляет 50% от поступивших обращений)</w:t>
      </w:r>
      <w:proofErr w:type="gramStart"/>
      <w:r w:rsidR="00B20EFF">
        <w:rPr>
          <w:sz w:val="28"/>
        </w:rPr>
        <w:t>,с</w:t>
      </w:r>
      <w:proofErr w:type="gramEnd"/>
      <w:r w:rsidR="00B20EFF">
        <w:rPr>
          <w:sz w:val="28"/>
        </w:rPr>
        <w:t xml:space="preserve"> интернет портала </w:t>
      </w:r>
      <w:proofErr w:type="spellStart"/>
      <w:r w:rsidR="00B20EFF">
        <w:rPr>
          <w:sz w:val="28"/>
        </w:rPr>
        <w:t>гос.услуг</w:t>
      </w:r>
      <w:proofErr w:type="spellEnd"/>
      <w:r w:rsidR="00B20EFF">
        <w:rPr>
          <w:sz w:val="28"/>
        </w:rPr>
        <w:t xml:space="preserve"> поступило – 1 обращение(что составляет 7 % от поступивших обращений), перенаправлено из других субъектов- 1 обращение</w:t>
      </w:r>
      <w:r w:rsidR="00BC21F0">
        <w:rPr>
          <w:sz w:val="28"/>
        </w:rPr>
        <w:t xml:space="preserve"> </w:t>
      </w:r>
      <w:r w:rsidR="00B20EFF">
        <w:rPr>
          <w:sz w:val="28"/>
        </w:rPr>
        <w:t>(что составляет 7 % от поступивших обращений),</w:t>
      </w:r>
      <w:r w:rsidR="00BC21F0">
        <w:rPr>
          <w:sz w:val="28"/>
        </w:rPr>
        <w:t xml:space="preserve"> на бумажном носителе</w:t>
      </w:r>
      <w:r w:rsidR="00B20EFF">
        <w:rPr>
          <w:sz w:val="28"/>
        </w:rPr>
        <w:t xml:space="preserve"> поступило 5 обращений </w:t>
      </w:r>
      <w:r w:rsidR="00A47044">
        <w:rPr>
          <w:sz w:val="28"/>
        </w:rPr>
        <w:t xml:space="preserve">(что составляет </w:t>
      </w:r>
      <w:r w:rsidR="00B20EFF">
        <w:rPr>
          <w:sz w:val="28"/>
        </w:rPr>
        <w:t>36</w:t>
      </w:r>
      <w:r w:rsidR="00A47044">
        <w:rPr>
          <w:sz w:val="28"/>
        </w:rPr>
        <w:t>% от поступивших обращений)</w:t>
      </w:r>
      <w:r w:rsidR="00BC21F0">
        <w:rPr>
          <w:sz w:val="28"/>
        </w:rPr>
        <w:t>.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B20EFF">
        <w:rPr>
          <w:sz w:val="28"/>
        </w:rPr>
        <w:t xml:space="preserve">3 квартале 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Отдел </w:t>
            </w:r>
            <w:r w:rsidR="00BC21F0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B20EF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BD5B2C" w:rsidRDefault="009F2A0F" w:rsidP="00C853F0">
            <w:r>
              <w:t>14</w:t>
            </w:r>
            <w:r w:rsidR="00C853F0"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налогообложения и камерального контроля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F2A0F" w:rsidRDefault="00F865B6">
            <w:r>
              <w:t>43</w:t>
            </w:r>
            <w:r w:rsidR="009F2A0F" w:rsidRPr="00B66853"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9F2A0F" w:rsidRDefault="00F865B6">
            <w:r>
              <w:t>21</w:t>
            </w:r>
            <w:r w:rsidR="009F2A0F" w:rsidRPr="00B66853"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F2A0F" w:rsidRDefault="00F865B6">
            <w:r>
              <w:t>7</w:t>
            </w:r>
            <w:r w:rsidR="009F2A0F" w:rsidRPr="00B66853"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Контрольно-аналитический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F2A0F" w:rsidRDefault="00F865B6">
            <w:r>
              <w:t>7</w:t>
            </w:r>
            <w:r w:rsidR="009F2A0F" w:rsidRPr="00B66853"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кадров и безопасности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F2A0F" w:rsidRDefault="00F865B6">
            <w:r>
              <w:t>7</w:t>
            </w:r>
            <w:r w:rsidR="009F2A0F" w:rsidRPr="00B66853">
              <w:t>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7271BD" w:rsidRDefault="002423CD">
            <w: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BC21F0">
        <w:rPr>
          <w:sz w:val="28"/>
        </w:rPr>
        <w:t>октября</w:t>
      </w:r>
      <w:r>
        <w:rPr>
          <w:sz w:val="28"/>
        </w:rPr>
        <w:t xml:space="preserve"> 2020 </w:t>
      </w:r>
      <w:r w:rsidR="007F7C35">
        <w:rPr>
          <w:sz w:val="28"/>
        </w:rPr>
        <w:t>все поступившие обращения исполнены в срок.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F865B6">
        <w:rPr>
          <w:sz w:val="28"/>
        </w:rPr>
        <w:t xml:space="preserve">3 квартале </w:t>
      </w:r>
      <w:r>
        <w:rPr>
          <w:sz w:val="28"/>
        </w:rPr>
        <w:t xml:space="preserve">  2020 года в Инспекции поступило на рассмотрение </w:t>
      </w:r>
      <w:r w:rsidR="00F865B6">
        <w:rPr>
          <w:color w:val="000000" w:themeColor="text1"/>
          <w:sz w:val="28"/>
        </w:rPr>
        <w:t>256</w:t>
      </w:r>
      <w:r>
        <w:rPr>
          <w:sz w:val="28"/>
        </w:rPr>
        <w:t xml:space="preserve"> обращений  граждан, на контроль поставлено</w:t>
      </w:r>
      <w:r w:rsidR="00055EA9">
        <w:rPr>
          <w:sz w:val="28"/>
        </w:rPr>
        <w:t xml:space="preserve"> </w:t>
      </w:r>
      <w:r w:rsidR="00F865B6">
        <w:rPr>
          <w:sz w:val="28"/>
        </w:rPr>
        <w:t>256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proofErr w:type="spellStart"/>
      <w:r>
        <w:rPr>
          <w:b/>
          <w:sz w:val="27"/>
        </w:rPr>
        <w:t>c</w:t>
      </w:r>
      <w:proofErr w:type="spellEnd"/>
      <w:r>
        <w:rPr>
          <w:b/>
          <w:sz w:val="27"/>
        </w:rPr>
        <w:t xml:space="preserve"> 01.</w:t>
      </w:r>
      <w:r w:rsidR="002423CD">
        <w:rPr>
          <w:b/>
          <w:sz w:val="27"/>
        </w:rPr>
        <w:t>0</w:t>
      </w:r>
      <w:r w:rsidR="001B354D">
        <w:rPr>
          <w:b/>
          <w:sz w:val="27"/>
        </w:rPr>
        <w:t>7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BC21F0">
        <w:rPr>
          <w:b/>
          <w:sz w:val="27"/>
        </w:rPr>
        <w:t>0</w:t>
      </w:r>
      <w:r>
        <w:rPr>
          <w:b/>
          <w:sz w:val="27"/>
        </w:rPr>
        <w:t>.</w:t>
      </w:r>
      <w:r w:rsidR="002423CD">
        <w:rPr>
          <w:b/>
          <w:sz w:val="27"/>
        </w:rPr>
        <w:t>0</w:t>
      </w:r>
      <w:r w:rsidR="00BC21F0">
        <w:rPr>
          <w:b/>
          <w:sz w:val="27"/>
        </w:rPr>
        <w:t>9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</w:t>
            </w:r>
            <w:r>
              <w:rPr>
                <w:b/>
                <w:color w:val="800000"/>
              </w:rPr>
              <w:lastRenderedPageBreak/>
              <w:t>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11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lastRenderedPageBreak/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DC4751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20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1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F865B6" w:rsidP="00CB4708">
            <w:pPr>
              <w:jc w:val="center"/>
            </w:pPr>
            <w:r>
              <w:t>34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F865B6" w:rsidP="00CB4708">
            <w:pPr>
              <w:jc w:val="center"/>
            </w:pPr>
            <w:r>
              <w:t>66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39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16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11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Pr="001B354D" w:rsidRDefault="001B354D">
            <w:pPr>
              <w:jc w:val="center"/>
              <w:rPr>
                <w:color w:val="auto"/>
                <w:highlight w:val="yellow"/>
              </w:rPr>
            </w:pPr>
            <w:r w:rsidRPr="001B354D">
              <w:rPr>
                <w:color w:val="auto"/>
              </w:rP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10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F865B6">
            <w:pPr>
              <w:jc w:val="center"/>
            </w:pPr>
            <w:r>
              <w:t>39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3A33D5" w:rsidP="000B71D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B71D8">
              <w:rPr>
                <w:b/>
              </w:rPr>
              <w:t>6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8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FF" w:rsidRDefault="00B20EFF" w:rsidP="00BD5B2C">
      <w:r>
        <w:separator/>
      </w:r>
    </w:p>
  </w:endnote>
  <w:endnote w:type="continuationSeparator" w:id="1">
    <w:p w:rsidR="00B20EFF" w:rsidRDefault="00B20EFF" w:rsidP="00B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FF" w:rsidRDefault="00B20EFF" w:rsidP="00BD5B2C">
      <w:r>
        <w:separator/>
      </w:r>
    </w:p>
  </w:footnote>
  <w:footnote w:type="continuationSeparator" w:id="1">
    <w:p w:rsidR="00B20EFF" w:rsidRDefault="00B20EFF" w:rsidP="00B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F" w:rsidRDefault="00B20EFF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7E00B7">
      <w:rPr>
        <w:rStyle w:val="af6"/>
        <w:noProof/>
        <w:sz w:val="22"/>
      </w:rPr>
      <w:t>8</w:t>
    </w:r>
    <w:r>
      <w:rPr>
        <w:rStyle w:val="af6"/>
        <w:sz w:val="22"/>
      </w:rPr>
      <w:fldChar w:fldCharType="end"/>
    </w:r>
  </w:p>
  <w:p w:rsidR="00B20EFF" w:rsidRDefault="00B20EFF">
    <w:pPr>
      <w:pStyle w:val="a8"/>
      <w:ind w:right="360"/>
    </w:pPr>
  </w:p>
  <w:p w:rsidR="00B20EFF" w:rsidRDefault="00B20EF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2C"/>
    <w:rsid w:val="00053613"/>
    <w:rsid w:val="00055EA9"/>
    <w:rsid w:val="000B71D8"/>
    <w:rsid w:val="001B354D"/>
    <w:rsid w:val="00233D9F"/>
    <w:rsid w:val="002423CD"/>
    <w:rsid w:val="002635ED"/>
    <w:rsid w:val="0027459F"/>
    <w:rsid w:val="00310E11"/>
    <w:rsid w:val="003731F9"/>
    <w:rsid w:val="003923C3"/>
    <w:rsid w:val="00397D4B"/>
    <w:rsid w:val="003A33D5"/>
    <w:rsid w:val="003B1779"/>
    <w:rsid w:val="005333DA"/>
    <w:rsid w:val="00580398"/>
    <w:rsid w:val="005D0599"/>
    <w:rsid w:val="005E382E"/>
    <w:rsid w:val="00684341"/>
    <w:rsid w:val="006C18CC"/>
    <w:rsid w:val="007271BD"/>
    <w:rsid w:val="007E00B7"/>
    <w:rsid w:val="007F135D"/>
    <w:rsid w:val="007F7C35"/>
    <w:rsid w:val="0081659E"/>
    <w:rsid w:val="009B3DFA"/>
    <w:rsid w:val="009E3F8D"/>
    <w:rsid w:val="009F2A0F"/>
    <w:rsid w:val="00A47044"/>
    <w:rsid w:val="00AA291A"/>
    <w:rsid w:val="00AA7419"/>
    <w:rsid w:val="00B20EFF"/>
    <w:rsid w:val="00BC21F0"/>
    <w:rsid w:val="00BD5B2C"/>
    <w:rsid w:val="00BF20F1"/>
    <w:rsid w:val="00C41F40"/>
    <w:rsid w:val="00C853F0"/>
    <w:rsid w:val="00CB4708"/>
    <w:rsid w:val="00CE311A"/>
    <w:rsid w:val="00D31AD8"/>
    <w:rsid w:val="00DC4751"/>
    <w:rsid w:val="00E167F4"/>
    <w:rsid w:val="00E25F2F"/>
    <w:rsid w:val="00EA2B90"/>
    <w:rsid w:val="00F8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link w:val="3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7DE-406E-4B10-B6B7-4393DE6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2</cp:revision>
  <cp:lastPrinted>2020-10-14T07:36:00Z</cp:lastPrinted>
  <dcterms:created xsi:type="dcterms:W3CDTF">2020-10-14T07:37:00Z</dcterms:created>
  <dcterms:modified xsi:type="dcterms:W3CDTF">2020-10-14T07:37:00Z</dcterms:modified>
</cp:coreProperties>
</file>